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-176" w:type="dxa"/>
        <w:tblLayout w:type="fixed"/>
        <w:tblLook w:val="01E0"/>
      </w:tblPr>
      <w:tblGrid>
        <w:gridCol w:w="176"/>
        <w:gridCol w:w="6708"/>
        <w:gridCol w:w="576"/>
        <w:gridCol w:w="577"/>
        <w:gridCol w:w="576"/>
        <w:gridCol w:w="577"/>
        <w:gridCol w:w="198"/>
        <w:gridCol w:w="378"/>
        <w:gridCol w:w="577"/>
      </w:tblGrid>
      <w:tr w:rsidR="00421EFE" w:rsidRPr="00CF7FC6" w:rsidTr="00CF7FC6">
        <w:trPr>
          <w:gridBefore w:val="1"/>
          <w:gridAfter w:val="2"/>
          <w:wBefore w:w="176" w:type="dxa"/>
          <w:wAfter w:w="955" w:type="dxa"/>
        </w:trPr>
        <w:tc>
          <w:tcPr>
            <w:tcW w:w="9212" w:type="dxa"/>
            <w:gridSpan w:val="6"/>
          </w:tcPr>
          <w:p w:rsidR="00B838EC" w:rsidRPr="00CF7FC6" w:rsidRDefault="00B838EC" w:rsidP="008E3D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F7FC6">
              <w:rPr>
                <w:rFonts w:ascii="Times New Roman" w:hAnsi="Times New Roman"/>
                <w:b/>
                <w:bCs/>
                <w:szCs w:val="24"/>
              </w:rPr>
              <w:t>Učebné osnovy</w:t>
            </w:r>
          </w:p>
          <w:p w:rsidR="007927D7" w:rsidRPr="00CF7FC6" w:rsidRDefault="007927D7" w:rsidP="008E3DE8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89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68"/>
              <w:gridCol w:w="4472"/>
            </w:tblGrid>
            <w:tr w:rsidR="00B838EC" w:rsidRPr="00CF7FC6" w:rsidTr="007F3E5B">
              <w:trPr>
                <w:trHeight w:val="446"/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Názov predmetu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Geografia</w:t>
                  </w:r>
                </w:p>
              </w:tc>
            </w:tr>
            <w:tr w:rsidR="00B838EC" w:rsidRPr="00CF7FC6" w:rsidTr="007F3E5B">
              <w:trPr>
                <w:trHeight w:val="112"/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Časový rozsah výučby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2 hodiny týždenne, spolu 66 vyučovacích hodín</w:t>
                  </w:r>
                </w:p>
              </w:tc>
            </w:tr>
            <w:tr w:rsidR="00B838EC" w:rsidRPr="00CF7FC6" w:rsidTr="007F3E5B">
              <w:trPr>
                <w:trHeight w:val="114"/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Ročník 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8E3DE8" w:rsidP="008E3DE8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P</w:t>
                  </w:r>
                  <w:r w:rsidR="00B838EC" w:rsidRPr="00CF7FC6">
                    <w:rPr>
                      <w:rFonts w:ascii="Times New Roman" w:hAnsi="Times New Roman"/>
                      <w:szCs w:val="24"/>
                    </w:rPr>
                    <w:t>iaty</w:t>
                  </w:r>
                </w:p>
              </w:tc>
            </w:tr>
            <w:tr w:rsidR="00B838EC" w:rsidRPr="00CF7FC6" w:rsidTr="007F3E5B">
              <w:trPr>
                <w:trHeight w:val="200"/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Škola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Súkromná základná škola </w:t>
                  </w:r>
                </w:p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Oravská cesta 11</w:t>
                  </w:r>
                </w:p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Žilina</w:t>
                  </w:r>
                </w:p>
              </w:tc>
            </w:tr>
            <w:tr w:rsidR="00B838EC" w:rsidRPr="00CF7FC6" w:rsidTr="007F3E5B">
              <w:trPr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Stupeň vzdelania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ISCED 2</w:t>
                  </w:r>
                </w:p>
              </w:tc>
            </w:tr>
            <w:tr w:rsidR="00B838EC" w:rsidRPr="00CF7FC6" w:rsidTr="007F3E5B">
              <w:trPr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Názov Školského vzdelávacieho programu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S angličtinou objavujeme svet</w:t>
                  </w:r>
                </w:p>
              </w:tc>
            </w:tr>
            <w:tr w:rsidR="00B838EC" w:rsidRPr="00CF7FC6" w:rsidTr="007F3E5B">
              <w:trPr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Dĺžka štúdia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5 rokov</w:t>
                  </w:r>
                </w:p>
              </w:tc>
            </w:tr>
            <w:tr w:rsidR="00B838EC" w:rsidRPr="00CF7FC6" w:rsidTr="007F3E5B">
              <w:trPr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Forma štúdia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8E3DE8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D</w:t>
                  </w:r>
                  <w:r w:rsidR="00B838EC"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enná</w:t>
                  </w:r>
                </w:p>
              </w:tc>
            </w:tr>
            <w:tr w:rsidR="00B838EC" w:rsidRPr="00CF7FC6" w:rsidTr="007F3E5B">
              <w:trPr>
                <w:jc w:val="center"/>
              </w:trPr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Vyučovací jazyk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8EC" w:rsidRPr="00CF7FC6" w:rsidRDefault="00B838EC" w:rsidP="008E3DE8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F7FC6">
                    <w:rPr>
                      <w:rFonts w:ascii="Times New Roman" w:hAnsi="Times New Roman"/>
                      <w:b/>
                      <w:bCs/>
                      <w:szCs w:val="24"/>
                    </w:rPr>
                    <w:t>slovenský jazyk</w:t>
                  </w:r>
                </w:p>
              </w:tc>
            </w:tr>
          </w:tbl>
          <w:p w:rsidR="008E3DE8" w:rsidRPr="00CF7FC6" w:rsidRDefault="008E3DE8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8C31A7" w:rsidRPr="00CF7FC6" w:rsidRDefault="008C31A7" w:rsidP="008C3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F7FC6">
              <w:rPr>
                <w:rFonts w:ascii="Times New Roman" w:hAnsi="Times New Roman"/>
                <w:b/>
                <w:szCs w:val="24"/>
              </w:rPr>
              <w:t>Učebné osnovy sú totožné so vzdelávacím štandardom ŠVP pre príslušný predmet.</w:t>
            </w:r>
          </w:p>
          <w:p w:rsidR="008C31A7" w:rsidRPr="00CF7FC6" w:rsidRDefault="008C31A7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8E3DE8" w:rsidRPr="00CF7FC6" w:rsidRDefault="008E3DE8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354707" w:rsidRPr="00CF7FC6" w:rsidRDefault="00354707" w:rsidP="008E3DE8">
            <w:pPr>
              <w:rPr>
                <w:rFonts w:ascii="Times New Roman" w:hAnsi="Times New Roman"/>
                <w:b/>
                <w:szCs w:val="24"/>
              </w:rPr>
            </w:pPr>
            <w:r w:rsidRPr="00CF7FC6">
              <w:rPr>
                <w:rFonts w:ascii="Times New Roman" w:hAnsi="Times New Roman"/>
                <w:b/>
                <w:szCs w:val="24"/>
              </w:rPr>
              <w:t>CHARAKTERISTIKA PREDMETU</w:t>
            </w:r>
          </w:p>
          <w:p w:rsidR="008E3DE8" w:rsidRPr="00CF7FC6" w:rsidRDefault="008E3DE8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421EFE" w:rsidRPr="00CF7FC6" w:rsidRDefault="007927D7" w:rsidP="008E3DE8">
            <w:pPr>
              <w:jc w:val="both"/>
              <w:rPr>
                <w:rFonts w:ascii="Times New Roman" w:hAnsi="Times New Roman"/>
                <w:szCs w:val="24"/>
              </w:rPr>
            </w:pPr>
            <w:r w:rsidRPr="00CF7FC6">
              <w:rPr>
                <w:rFonts w:ascii="Times New Roman" w:hAnsi="Times New Roman"/>
                <w:szCs w:val="24"/>
              </w:rPr>
              <w:t>Učebný predmet geografia rozvíja u žiakov poznanie o výnimočnosti a jedinečnosti planéty Zem. Pomáha správne pochopiť podstatu javov a procesov, ktoré na Zemi prebiehajú a uvedomiť si princípy, na ktorých je postavená existencia života. Štúdium geografie umožňuje žiakom spoznávať krajinu v celej svojej komplexnosti a zložitosti. Podporuje snahu porozumieť vzťahom medzi jednotlivými zložkami a prvkami krajiny a chápať ich silnú vzájomnú previazanosť. Základnou zručnosťou, rozvíjanou v geografii, je práca s mapovými podkladmi v tlačenej a digitálnej podobe. Vedieť mapu vyhľadať, čítať, pracovať s ňou, analyzovať jej obsah a interpretovať ho, orientovať sa v nej a podľa nej v neznámom prostredí, tvoria základ geografického myslenia a vzdelávania. Dôkladné poznanie Zeme je nevyhnutnou podmienkou jej ochrany. Každé miesto na Zemi je osobité. Od iných sa odlišuje typickým podnebím, rastlinstvom, živočíšstvom, ale aj obyvateľmi s vlastným jazykom, kultúrou a spôsobom života. Tolerancia žiakov k inakosti predpokladá pochopenie podstaty príčin rôznorodosti a rozmanitosti jednotlivých krajín. Vyžaduje úctu k princípom demokracie a občianskej slobody, ktorých nerešpektovanie môže viesť k vojnovým konfliktom a globálnym katastrofám. Geografia zohráva v tomto smere nezastupiteľnú úlohu. Zdôrazňuje súvislosti a nie vždy jasnú prepojenosť príčin s dôsledkami. Formuje osobnosť mladého človeka upozorňovaním na podobnosť, ale aj zvláštnosti popisovaných regiónov, ktoré porovnáva so Slovenskom, pričom poukazuje na jeho jedinečnosť v kontexte Európy, či sveta.</w:t>
            </w:r>
          </w:p>
          <w:p w:rsidR="007927D7" w:rsidRPr="00CF7FC6" w:rsidRDefault="007927D7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E3DE8" w:rsidRPr="00CF7FC6" w:rsidRDefault="008E3DE8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E3DE8" w:rsidRPr="00CF7FC6" w:rsidRDefault="008E3DE8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E3DE8" w:rsidRPr="00CF7FC6" w:rsidRDefault="008E3DE8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E3DE8" w:rsidRPr="00CF7FC6" w:rsidRDefault="008E3DE8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927D7" w:rsidRPr="00CF7FC6" w:rsidRDefault="007927D7" w:rsidP="008E3DE8">
            <w:pPr>
              <w:rPr>
                <w:rFonts w:ascii="Times New Roman" w:hAnsi="Times New Roman"/>
                <w:b/>
                <w:szCs w:val="24"/>
              </w:rPr>
            </w:pPr>
            <w:r w:rsidRPr="00CF7FC6">
              <w:rPr>
                <w:rFonts w:ascii="Times New Roman" w:hAnsi="Times New Roman"/>
                <w:b/>
                <w:szCs w:val="24"/>
              </w:rPr>
              <w:t>KOMPETENCIE</w:t>
            </w:r>
          </w:p>
          <w:p w:rsidR="007927D7" w:rsidRPr="00CF7FC6" w:rsidRDefault="007927D7" w:rsidP="008E3D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927D7" w:rsidRPr="00CF7FC6" w:rsidRDefault="007927D7" w:rsidP="008E3DE8">
            <w:pPr>
              <w:rPr>
                <w:rFonts w:ascii="Times New Roman" w:hAnsi="Times New Roman"/>
                <w:szCs w:val="24"/>
              </w:rPr>
            </w:pPr>
            <w:r w:rsidRPr="00CF7FC6">
              <w:rPr>
                <w:rFonts w:ascii="Times New Roman" w:hAnsi="Times New Roman"/>
                <w:szCs w:val="24"/>
              </w:rPr>
              <w:t>Geografia rozvíja súbor kľúčových kompetencií, ktoré majú prevažne priestorový a integrujúci charakter. Považuje sa za ne súbor vedomostí, zručností a schopností, ktoré vie žiak správne skombinovať a tak porozumieť, interpretovať a prakticky využívať danosti krajiny</w:t>
            </w:r>
            <w:r w:rsidR="00354707" w:rsidRPr="00CF7FC6">
              <w:rPr>
                <w:rFonts w:ascii="Times New Roman" w:hAnsi="Times New Roman"/>
                <w:szCs w:val="24"/>
              </w:rPr>
              <w:t>.</w:t>
            </w:r>
          </w:p>
          <w:p w:rsidR="007927D7" w:rsidRPr="00CF7FC6" w:rsidRDefault="007927D7" w:rsidP="008E3DE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7927D7" w:rsidRPr="00CF7FC6" w:rsidRDefault="007927D7" w:rsidP="008E3DE8">
            <w:pPr>
              <w:ind w:firstLine="540"/>
              <w:jc w:val="both"/>
              <w:rPr>
                <w:rFonts w:ascii="Times New Roman" w:hAnsi="Times New Roman"/>
                <w:bCs/>
                <w:szCs w:val="24"/>
              </w:rPr>
            </w:pPr>
            <w:r w:rsidRPr="00CF7FC6">
              <w:rPr>
                <w:rFonts w:ascii="Times New Roman" w:hAnsi="Times New Roman"/>
                <w:bCs/>
                <w:szCs w:val="24"/>
              </w:rPr>
              <w:t xml:space="preserve">Základné predmetové  kompetencie (spôsobilosti) </w:t>
            </w:r>
          </w:p>
          <w:p w:rsidR="007927D7" w:rsidRPr="00CF7FC6" w:rsidRDefault="007927D7" w:rsidP="008E3DE8">
            <w:pPr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CF7FC6">
              <w:rPr>
                <w:rFonts w:ascii="Times New Roman" w:hAnsi="Times New Roman"/>
                <w:snapToGrid w:val="0"/>
                <w:szCs w:val="24"/>
              </w:rPr>
              <w:t>orientovať sa na mape – automapa, internetová mapa, turistická mapa, určiť geografickú polohu bodu na mape geografickými súradnicami</w:t>
            </w:r>
          </w:p>
          <w:p w:rsidR="007927D7" w:rsidRPr="00CF7FC6" w:rsidRDefault="007927D7" w:rsidP="008E3DE8">
            <w:pPr>
              <w:numPr>
                <w:ilvl w:val="0"/>
                <w:numId w:val="2"/>
              </w:numPr>
              <w:ind w:left="144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CF7FC6">
              <w:rPr>
                <w:rFonts w:ascii="Times New Roman" w:hAnsi="Times New Roman"/>
                <w:snapToGrid w:val="0"/>
                <w:szCs w:val="24"/>
              </w:rPr>
              <w:t>vedieť čítať a interpretovať údaje z máp, plánov a iných zdrojov, vedieť diskutovať o cestách objaviteľov do rôznych častí sveta</w:t>
            </w:r>
          </w:p>
          <w:p w:rsidR="007927D7" w:rsidRPr="00CF7FC6" w:rsidRDefault="007927D7" w:rsidP="008E3DE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27D7" w:rsidRPr="00CF7FC6" w:rsidRDefault="007927D7" w:rsidP="008E3DE8">
            <w:pPr>
              <w:ind w:firstLine="540"/>
              <w:rPr>
                <w:rFonts w:ascii="Times New Roman" w:hAnsi="Times New Roman"/>
                <w:szCs w:val="24"/>
              </w:rPr>
            </w:pPr>
            <w:r w:rsidRPr="00CF7FC6">
              <w:rPr>
                <w:rFonts w:ascii="Times New Roman" w:hAnsi="Times New Roman"/>
                <w:szCs w:val="24"/>
              </w:rPr>
              <w:t>Komunikatívne a sociálno-interakčné spôsobilosti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 w:hanging="180"/>
              <w:jc w:val="both"/>
            </w:pPr>
            <w:r w:rsidRPr="00CF7FC6">
              <w:t xml:space="preserve">Pri vyučovaní geografie sa veľký dôraz kladie na literatúru ako zdroj, nielen učebnice, ale aj odborné a populárno-vedecké časopisy, ktoré prinášajú aktuálne informácie Podporujeme tým potrebu čítania u žiakov, správne porozumenie prečítaného a spracovanie a interpretáciu. Prvotné rozvíjanie čítania a interpretácie obrázkov, fotografií, grafov, tabuliek, prierezov, schém a diagramov považujem za základné vyjadrovacie prostriedky geografie. 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t xml:space="preserve">V obsahu geografie sa snažíme o integráciu a súborný pohľad na poznatky získané v spoločenských či prírodovedných disciplínach. Vytvoriť ich prepojenie tak, aby vznikol komplexný obraz o regiónoch v rôznych častiach sveta. </w:t>
            </w:r>
          </w:p>
          <w:p w:rsidR="007927D7" w:rsidRPr="00CF7FC6" w:rsidRDefault="007927D7" w:rsidP="008E3DE8">
            <w:pPr>
              <w:tabs>
                <w:tab w:val="num" w:pos="1440"/>
              </w:tabs>
              <w:ind w:left="1440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7927D7" w:rsidRPr="00CF7FC6" w:rsidRDefault="007927D7" w:rsidP="008E3DE8">
            <w:pPr>
              <w:ind w:firstLine="540"/>
              <w:rPr>
                <w:rFonts w:ascii="Times New Roman" w:hAnsi="Times New Roman"/>
                <w:szCs w:val="24"/>
              </w:rPr>
            </w:pPr>
            <w:r w:rsidRPr="00CF7FC6">
              <w:rPr>
                <w:rFonts w:ascii="Times New Roman" w:hAnsi="Times New Roman"/>
                <w:szCs w:val="24"/>
              </w:rPr>
              <w:t>Interpersonálne a </w:t>
            </w:r>
            <w:proofErr w:type="spellStart"/>
            <w:r w:rsidRPr="00CF7FC6">
              <w:rPr>
                <w:rFonts w:ascii="Times New Roman" w:hAnsi="Times New Roman"/>
                <w:szCs w:val="24"/>
              </w:rPr>
              <w:t>intrapersonálne</w:t>
            </w:r>
            <w:proofErr w:type="spellEnd"/>
            <w:r w:rsidRPr="00CF7FC6">
              <w:rPr>
                <w:rFonts w:ascii="Times New Roman" w:hAnsi="Times New Roman"/>
                <w:szCs w:val="24"/>
              </w:rPr>
              <w:t xml:space="preserve"> spôsobilosti</w:t>
            </w:r>
          </w:p>
          <w:p w:rsidR="007927D7" w:rsidRPr="00CF7FC6" w:rsidRDefault="007927D7" w:rsidP="008E3DE8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CF7FC6">
              <w:rPr>
                <w:rFonts w:ascii="Times New Roman" w:hAnsi="Times New Roman"/>
                <w:snapToGrid w:val="0"/>
                <w:color w:val="000000"/>
                <w:szCs w:val="24"/>
              </w:rPr>
              <w:t>hľa</w:t>
            </w:r>
            <w:r w:rsidRPr="00CF7FC6">
              <w:rPr>
                <w:rFonts w:ascii="Times New Roman" w:hAnsi="Times New Roman"/>
                <w:snapToGrid w:val="0"/>
                <w:szCs w:val="24"/>
              </w:rPr>
              <w:t>dať odpovede na otázky, zdôvodňovať, uvažovať, hodnotiť, pracovať so zdrojmi</w:t>
            </w:r>
          </w:p>
          <w:p w:rsidR="007927D7" w:rsidRPr="00CF7FC6" w:rsidRDefault="007927D7" w:rsidP="008E3DE8">
            <w:pPr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CF7FC6">
              <w:rPr>
                <w:rFonts w:ascii="Times New Roman" w:hAnsi="Times New Roman"/>
                <w:snapToGrid w:val="0"/>
                <w:szCs w:val="24"/>
              </w:rPr>
              <w:t>schopnosť objavovať, vyhľadávať informácie, prezentovať, vysvetľovať na základe  príkladov. I</w:t>
            </w:r>
            <w:r w:rsidRPr="00CF7FC6">
              <w:rPr>
                <w:rFonts w:ascii="Times New Roman" w:hAnsi="Times New Roman"/>
                <w:szCs w:val="24"/>
              </w:rPr>
              <w:t>ch praktické využitie v bežnom živote a schopnosť vyhľadať a použiť ich pre praktické potreby (textové a dátové zdroje v tlačenej či digitálnej podobe) Kultúrne kompetencie rozšíriť prostredníctvom poznania rôznych kultúr na celom svete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t xml:space="preserve">Geografia učí vážiť si iné kultúry pri zachovaní vlastnej identity, venuje sa ľudovej kultúre a kultúrnym tradíciám. Kultúrne pamiatky sú súčasťou obsahu regionálnej geografie. </w:t>
            </w:r>
          </w:p>
          <w:p w:rsidR="007927D7" w:rsidRPr="00CF7FC6" w:rsidRDefault="007927D7" w:rsidP="008E3DE8">
            <w:pPr>
              <w:rPr>
                <w:rFonts w:ascii="Times New Roman" w:hAnsi="Times New Roman"/>
                <w:szCs w:val="24"/>
              </w:rPr>
            </w:pPr>
          </w:p>
          <w:p w:rsidR="007927D7" w:rsidRPr="00CF7FC6" w:rsidRDefault="007927D7" w:rsidP="008E3DE8">
            <w:pPr>
              <w:ind w:firstLine="540"/>
              <w:rPr>
                <w:rFonts w:ascii="Times New Roman" w:hAnsi="Times New Roman"/>
                <w:szCs w:val="24"/>
              </w:rPr>
            </w:pPr>
            <w:r w:rsidRPr="00CF7FC6">
              <w:rPr>
                <w:rFonts w:ascii="Times New Roman" w:hAnsi="Times New Roman"/>
                <w:szCs w:val="24"/>
              </w:rPr>
              <w:t>Schopnosť tvorivo riešiť problémy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t xml:space="preserve">Rozvíjanie podnikateľských zručností žiaci získajú spracúvaním projektov. Žiaci sa naučia riadiť projekty, ako sú napr. modelové cestovné kancelárie, projekty na inventarizáciu predpokladov rozvoja regiónov a pod. 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lastRenderedPageBreak/>
              <w:t xml:space="preserve">Schopnosti a zručnosti získané štúdiom geografie využiť pri oddychových aktivitách (cestovaní, rekreácii a i.). 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t xml:space="preserve">poznatky fyzickej geografie sú z oblasti prírodných charakteristík Zeme. Získané informácie využije žiak pri správnom pochopení vzniku a vývoji hlavných povrchových tvarov, pri porovnávaní a využívaní nerovností zemského povrchu napríklad i turistike, ale aj pri rozhodovaní umiestňovaní aktivít v rozvoji regiónov – dopravných sietí, prípadne ťažbe nerastných surovín. Poznať vplyv a účinok vnútorných a vonkajších síl, ktoré pôsobia na povrch Zeme umožnia ľuďom chrániť sa pred živelnými pohromami. To isté platí aj pri poznaní zákonitostí počasia v rôznych podnebných oblastiach sveta. </w:t>
            </w:r>
          </w:p>
          <w:p w:rsidR="007927D7" w:rsidRPr="00CF7FC6" w:rsidRDefault="007927D7" w:rsidP="008E3DE8">
            <w:pPr>
              <w:pStyle w:val="western"/>
              <w:numPr>
                <w:ilvl w:val="0"/>
                <w:numId w:val="2"/>
              </w:numPr>
              <w:tabs>
                <w:tab w:val="clear" w:pos="1080"/>
                <w:tab w:val="num" w:pos="1440"/>
              </w:tabs>
              <w:spacing w:before="0" w:beforeAutospacing="0" w:after="0" w:afterAutospacing="0" w:line="276" w:lineRule="auto"/>
              <w:ind w:left="1440"/>
              <w:jc w:val="both"/>
            </w:pPr>
            <w:r w:rsidRPr="00CF7FC6">
              <w:t xml:space="preserve">v oblasti humánnej geografie vyučovanie sa zameriava na človeka na Zemi, na premeny,  ktorými ovplyvnil krajinu Porozumieť premenám v krajine, ktoré podmieňuje človek (vrátane kultúrnych aspektov). Zhodnotiť perspektívy rozvoja pre budúcnosť (vývoj počtu obyvateľstva, rozvoja sídel, hospodárstva a i.). </w:t>
            </w:r>
          </w:p>
          <w:p w:rsidR="007927D7" w:rsidRPr="00CF7FC6" w:rsidRDefault="007927D7" w:rsidP="008E3DE8">
            <w:pPr>
              <w:tabs>
                <w:tab w:val="left" w:pos="2190"/>
              </w:tabs>
              <w:rPr>
                <w:rFonts w:ascii="Times New Roman" w:hAnsi="Times New Roman"/>
                <w:szCs w:val="24"/>
              </w:rPr>
            </w:pPr>
          </w:p>
          <w:p w:rsidR="00B838EC" w:rsidRPr="00CF7FC6" w:rsidRDefault="00B838EC" w:rsidP="008E3DE8">
            <w:pPr>
              <w:tabs>
                <w:tab w:val="left" w:pos="2190"/>
              </w:tabs>
              <w:rPr>
                <w:rFonts w:ascii="Times New Roman" w:hAnsi="Times New Roman"/>
                <w:szCs w:val="24"/>
              </w:rPr>
            </w:pPr>
          </w:p>
          <w:p w:rsidR="007927D7" w:rsidRPr="00CF7FC6" w:rsidRDefault="007927D7" w:rsidP="008E3DE8">
            <w:pPr>
              <w:rPr>
                <w:rFonts w:ascii="Times New Roman" w:hAnsi="Times New Roman"/>
                <w:b/>
                <w:szCs w:val="24"/>
              </w:rPr>
            </w:pPr>
            <w:r w:rsidRPr="00CF7FC6">
              <w:rPr>
                <w:rFonts w:ascii="Times New Roman" w:hAnsi="Times New Roman"/>
                <w:b/>
                <w:szCs w:val="24"/>
              </w:rPr>
              <w:t>VZDELÁVACÍ ŠTANDARD</w:t>
            </w:r>
          </w:p>
          <w:p w:rsidR="007927D7" w:rsidRPr="00CF7FC6" w:rsidRDefault="007927D7" w:rsidP="008E3DE8">
            <w:pPr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6"/>
              <w:gridCol w:w="4467"/>
            </w:tblGrid>
            <w:tr w:rsidR="007927D7" w:rsidRPr="00CF7FC6" w:rsidTr="007927D7">
              <w:trPr>
                <w:trHeight w:val="550"/>
              </w:trPr>
              <w:tc>
                <w:tcPr>
                  <w:tcW w:w="4366" w:type="dxa"/>
                  <w:shd w:val="clear" w:color="auto" w:fill="auto"/>
                  <w:vAlign w:val="center"/>
                </w:tcPr>
                <w:p w:rsidR="007927D7" w:rsidRPr="00CF7FC6" w:rsidRDefault="007927D7" w:rsidP="008E3DE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b/>
                      <w:szCs w:val="24"/>
                    </w:rPr>
                    <w:t>Obsahový štandard</w:t>
                  </w:r>
                </w:p>
              </w:tc>
              <w:tc>
                <w:tcPr>
                  <w:tcW w:w="4467" w:type="dxa"/>
                  <w:shd w:val="clear" w:color="auto" w:fill="auto"/>
                  <w:vAlign w:val="center"/>
                </w:tcPr>
                <w:p w:rsidR="007927D7" w:rsidRPr="00CF7FC6" w:rsidRDefault="007927D7" w:rsidP="008E3DE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b/>
                      <w:szCs w:val="24"/>
                    </w:rPr>
                    <w:t>Výkonový štandard</w:t>
                  </w:r>
                </w:p>
              </w:tc>
            </w:tr>
            <w:tr w:rsidR="007927D7" w:rsidRPr="00CF7FC6" w:rsidTr="00DD28FD">
              <w:trPr>
                <w:trHeight w:val="983"/>
              </w:trPr>
              <w:tc>
                <w:tcPr>
                  <w:tcW w:w="4366" w:type="dxa"/>
                  <w:shd w:val="clear" w:color="auto" w:fill="auto"/>
                </w:tcPr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Vesmír, slnečná sústava (Slnko a osem planét, Mesiac) guľatý tvar Zeme dopad slnečných lúčov otáčanie Zeme sklon zemskej osi severná a južná pologuľa, východná a západná pologuľa obeh Zeme okolo Slnka priklonenie severnej a južnej pologule časové pásma svetadiely, svetový oceán</w:t>
                  </w:r>
                  <w:r w:rsidR="008E3DE8" w:rsidRPr="00CF7FC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8E3DE8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G</w:t>
                  </w:r>
                  <w:r w:rsidR="007927D7" w:rsidRPr="00CF7FC6">
                    <w:rPr>
                      <w:rFonts w:ascii="Times New Roman" w:hAnsi="Times New Roman"/>
                      <w:szCs w:val="24"/>
                    </w:rPr>
                    <w:t xml:space="preserve">lóbus nultý poludník, poludníky, rovník, </w:t>
                  </w:r>
                  <w:r w:rsidR="007927D7" w:rsidRPr="00CF7FC6">
                    <w:rPr>
                      <w:rFonts w:ascii="Times New Roman" w:hAnsi="Times New Roman"/>
                      <w:szCs w:val="24"/>
                    </w:rPr>
                    <w:lastRenderedPageBreak/>
                    <w:t>rovnobežky východná a západná pologuľa geografická sieť mapa, obsah mapy (mapové znaky, grafická mierka mapy) GPS</w:t>
                  </w:r>
                  <w:r w:rsidRPr="00CF7FC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8E3DE8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P</w:t>
                  </w:r>
                  <w:r w:rsidR="007927D7" w:rsidRPr="00CF7FC6">
                    <w:rPr>
                      <w:rFonts w:ascii="Times New Roman" w:hAnsi="Times New Roman"/>
                      <w:szCs w:val="24"/>
                    </w:rPr>
                    <w:t xml:space="preserve">ohoria, nížiny sopky, zemetrasenia doliny (kaňony), rieky, vodopády, jazerá podnebné pásma (teplé, mierne, studené), ovzdušie, oblaky výšková stupňovitosť, šírková </w:t>
                  </w:r>
                  <w:proofErr w:type="spellStart"/>
                  <w:r w:rsidR="007927D7" w:rsidRPr="00CF7FC6">
                    <w:rPr>
                      <w:rFonts w:ascii="Times New Roman" w:hAnsi="Times New Roman"/>
                      <w:szCs w:val="24"/>
                    </w:rPr>
                    <w:t>pásmovitosť</w:t>
                  </w:r>
                  <w:proofErr w:type="spellEnd"/>
                  <w:r w:rsidR="007927D7" w:rsidRPr="00CF7FC6">
                    <w:rPr>
                      <w:rFonts w:ascii="Times New Roman" w:hAnsi="Times New Roman"/>
                      <w:szCs w:val="24"/>
                    </w:rPr>
                    <w:t xml:space="preserve"> typy krajín (tropické dažďové lesy, savany, púšte, subtropická krajina, stepi, listnaté lesy mierneho pásma, ihličnaté lesy mierneho pásma, tundra, polárna krajina, vysokohorská krajina) ochrana prírody</w:t>
                  </w:r>
                  <w:r w:rsidRPr="00CF7FC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8E3DE8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M</w:t>
                  </w:r>
                  <w:r w:rsidR="007927D7" w:rsidRPr="00CF7FC6">
                    <w:rPr>
                      <w:rFonts w:ascii="Times New Roman" w:hAnsi="Times New Roman"/>
                      <w:szCs w:val="24"/>
                    </w:rPr>
                    <w:t>está, vidiecke sídla prírodné a kultúrne pamiatky zapísané v zozname UNESCO</w:t>
                  </w:r>
                  <w:r w:rsidRPr="00CF7FC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E5127F" w:rsidRPr="00CF7FC6" w:rsidRDefault="00E5127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C543F" w:rsidRPr="00CF7FC6" w:rsidRDefault="004C543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8E3DE8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T</w:t>
                  </w:r>
                  <w:r w:rsidR="007927D7" w:rsidRPr="00CF7FC6">
                    <w:rPr>
                      <w:rFonts w:ascii="Times New Roman" w:hAnsi="Times New Roman"/>
                      <w:szCs w:val="24"/>
                    </w:rPr>
                    <w:t xml:space="preserve">uristické vybavenie, turistická mapa orientácia mapy, kompas členitosť terénu, nadmorská výška, záujmové body, vrcholy s výhľadom, turistické značky, smerovník </w:t>
                  </w:r>
                  <w:proofErr w:type="spellStart"/>
                  <w:r w:rsidR="007927D7" w:rsidRPr="00CF7FC6">
                    <w:rPr>
                      <w:rFonts w:ascii="Times New Roman" w:hAnsi="Times New Roman"/>
                      <w:szCs w:val="24"/>
                    </w:rPr>
                    <w:t>Geocaching</w:t>
                  </w:r>
                  <w:proofErr w:type="spellEnd"/>
                  <w:r w:rsidR="007927D7" w:rsidRPr="00CF7FC6">
                    <w:rPr>
                      <w:rFonts w:ascii="Times New Roman" w:hAnsi="Times New Roman"/>
                      <w:szCs w:val="24"/>
                    </w:rPr>
                    <w:t>, GPS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3E14CE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Tvorba, príprava a realizácia celoškolského projektu</w:t>
                  </w:r>
                </w:p>
              </w:tc>
              <w:tc>
                <w:tcPr>
                  <w:tcW w:w="4467" w:type="dxa"/>
                  <w:shd w:val="clear" w:color="auto" w:fill="auto"/>
                </w:tcPr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Žiak na konci 5. ročníka základnej školy vie/dokáže: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 rozpoznať základné prvky slnečnej sústavy na jednoduchom náčrte, opísať zdanlivú dráhu Slnka a Mesiaca na oblohe (obrázkoch, náčrtoch),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 vysvetliť príčiny striedania dňa a noci na Zemi,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 určiť podľa mapy časových pásem, kde na Zemi je viac hodín ako na Slovensku a kde menej,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uviesť dôvody vzniku teplotných pásem na Zemi,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vysvetliť striedanie ročných období,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rozpoznať na glóbuse (mape) svetadiely a oceány na Zemi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rozlíšiť na glóbuse jednotlivé </w:t>
                  </w:r>
                  <w:r w:rsidRPr="00CF7FC6">
                    <w:rPr>
                      <w:rFonts w:ascii="Times New Roman" w:hAnsi="Times New Roman"/>
                      <w:szCs w:val="24"/>
                    </w:rPr>
                    <w:lastRenderedPageBreak/>
                    <w:t>zemské pologule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určiť vybrané miesto na mape pomocou geografických súradníc,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porovnať na mapách rôznych grafických mierok vzdialenosti,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identifikovať na mape základné objekty v krajine (vie „čítať“ obsah mapy),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vyhľadať konkrétne miesta na digitálnych mapách.</w:t>
                  </w: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927D7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7927D7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Porozprávať podľa mapy a obrázkov o cestovaní vybraným pohorím: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vysvetliť (vlastnými slovami) príčiny vzniku pohorí,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vymenovať činitele, ktoré sa podieľajú na zarovnávaní pohorí,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zhodnotiť podľa mapy (glóbusu) rizikové zemetrasné oblasti na Zemi,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zdôvodniť usporiadanie rastlinstva a živočíšstva podľa nadmorskej výšky (výškovú stupňovitosť),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Porozprávať podľa mapy a obrázkov o cestovaní popri rieke od jej prameňa k ústiu: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vysvetliť vznik riek a jazier,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opísať, ako sa vytvárajú doliny (kaňony) a vodopády,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Porozprávať o cestovaní balónom od rovníka do polárnych krajín: zosumarizovať zmeny v ovzduší so stúpajúcou výškou,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vysvetliť vznik usporiadania rastlinstva a živočíšstva na Zemi do pásiem (šírkovú </w:t>
                  </w:r>
                  <w:proofErr w:type="spellStart"/>
                  <w:r w:rsidRPr="00CF7FC6">
                    <w:rPr>
                      <w:rFonts w:ascii="Times New Roman" w:hAnsi="Times New Roman"/>
                      <w:szCs w:val="24"/>
                    </w:rPr>
                    <w:t>pásmovitosť</w:t>
                  </w:r>
                  <w:proofErr w:type="spellEnd"/>
                  <w:r w:rsidRPr="00CF7FC6">
                    <w:rPr>
                      <w:rFonts w:ascii="Times New Roman" w:hAnsi="Times New Roman"/>
                      <w:szCs w:val="24"/>
                    </w:rPr>
                    <w:t xml:space="preserve">), </w:t>
                  </w:r>
                </w:p>
                <w:p w:rsidR="005702BF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priradiť k jednotlivým šírkovým pásmam dva typické rastlinné druhy a dva druhy živočíchov, </w:t>
                  </w:r>
                </w:p>
                <w:p w:rsidR="007927D7" w:rsidRPr="00CF7FC6" w:rsidRDefault="007927D7" w:rsidP="008E3DE8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na dvoch príkladoch zhodnotiť význam ochrany prírodných pamiatok zapísaných v Zozname </w:t>
                  </w:r>
                  <w:r w:rsidRPr="00CF7FC6">
                    <w:rPr>
                      <w:rFonts w:ascii="Times New Roman" w:hAnsi="Times New Roman"/>
                      <w:szCs w:val="24"/>
                    </w:rPr>
                    <w:lastRenderedPageBreak/>
                    <w:t>prírodného a kultúrneho dedičstva UNESCO a ukázať ich na mape (glóbuse).</w:t>
                  </w: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Porozprávať o cestovaní mestom a vidiekom: </w:t>
                  </w:r>
                </w:p>
                <w:p w:rsidR="005702BF" w:rsidRPr="00CF7FC6" w:rsidRDefault="005702BF" w:rsidP="008E3DE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porovnať životné podmienky ľudí žijúcich v meste a na vidieku, </w:t>
                  </w:r>
                </w:p>
                <w:p w:rsidR="005702BF" w:rsidRPr="00CF7FC6" w:rsidRDefault="005702BF" w:rsidP="008E3DE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zhodnotiť vplyv prírodných podmienok na rozmiestnenie obyvateľstva, </w:t>
                  </w:r>
                </w:p>
                <w:p w:rsidR="005702BF" w:rsidRPr="00CF7FC6" w:rsidRDefault="005702BF" w:rsidP="008E3DE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na dvoch príkladoch zhodnotiť význam ochrany kultúrnych pamiatok zapísaných v Zozname kultúrneho dedičstva UNESCO a ukázať ich na mape (glóbuse).</w:t>
                  </w: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02BF" w:rsidRPr="00CF7FC6" w:rsidRDefault="005702BF" w:rsidP="008E3DE8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 xml:space="preserve">vytýčiť trasu geografickej exkurzie (vychádzky) a slovne opísať jej priebeh, odhadnúť vzdialenosti k zaujímavým bodom na mape (vrcholy, kultúrno-historické a prírodné pamiatky) a náročnosť prístupu k nim, </w:t>
                  </w:r>
                </w:p>
                <w:p w:rsidR="005702BF" w:rsidRPr="00CF7FC6" w:rsidRDefault="005702BF" w:rsidP="008E3DE8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CF7FC6">
                    <w:rPr>
                      <w:rFonts w:ascii="Times New Roman" w:hAnsi="Times New Roman"/>
                      <w:szCs w:val="24"/>
                    </w:rPr>
                    <w:t>pomocou prístroja GPS (</w:t>
                  </w:r>
                  <w:r w:rsidR="00DD28FD" w:rsidRPr="00CF7FC6">
                    <w:rPr>
                      <w:rFonts w:ascii="Times New Roman" w:hAnsi="Times New Roman"/>
                      <w:szCs w:val="24"/>
                    </w:rPr>
                    <w:t>mobilu) nájsť zaujímavé miesto.</w:t>
                  </w:r>
                </w:p>
              </w:tc>
            </w:tr>
          </w:tbl>
          <w:p w:rsidR="007927D7" w:rsidRPr="00CF7FC6" w:rsidRDefault="007927D7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E5127F" w:rsidRPr="00CF7FC6" w:rsidRDefault="00E5127F" w:rsidP="008E3DE8">
            <w:pPr>
              <w:rPr>
                <w:rFonts w:ascii="Times New Roman" w:hAnsi="Times New Roman"/>
                <w:b/>
                <w:szCs w:val="24"/>
              </w:rPr>
            </w:pPr>
          </w:p>
          <w:p w:rsidR="005702BF" w:rsidRPr="00CF7FC6" w:rsidRDefault="005702BF" w:rsidP="008E3DE8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CF7FC6">
              <w:rPr>
                <w:rFonts w:ascii="Times New Roman" w:hAnsi="Times New Roman"/>
                <w:b/>
                <w:szCs w:val="24"/>
              </w:rPr>
              <w:t>HODNOTENIE PREDMETU</w:t>
            </w: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Hodnotenie úrovne vedomostí a zručností sa realizuje na základe Metodického pokynu č. 22/2011 na hodnotenie žiakov. Žiaci so ŠVVP sú hodnotení s ohľadom na svoje možnosti a v súlade s Metodickým pokynom č. 22/2011 a s prihliadnutím na odporúčania CPPPaP.</w:t>
            </w: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Kontrola a hodnotenie žiakov bude prebiehať nasledovne:</w:t>
            </w:r>
          </w:p>
          <w:p w:rsidR="00CF7FC6" w:rsidRPr="00CF7FC6" w:rsidRDefault="00CF7FC6" w:rsidP="00CF7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bCs/>
                <w:noProof/>
                <w:szCs w:val="24"/>
              </w:rPr>
              <w:t>P</w:t>
            </w:r>
            <w:r w:rsidRPr="00CF7FC6">
              <w:rPr>
                <w:rFonts w:ascii="Times New Roman" w:hAnsi="Times New Roman"/>
                <w:b/>
                <w:noProof/>
                <w:szCs w:val="24"/>
              </w:rPr>
              <w:t>redmet kontroly</w:t>
            </w:r>
            <w:r w:rsidRPr="00CF7FC6">
              <w:rPr>
                <w:rFonts w:ascii="Times New Roman" w:hAnsi="Times New Roman"/>
                <w:noProof/>
                <w:szCs w:val="24"/>
              </w:rPr>
              <w:t>: dosiahnuté vedomosti, zručnosti a poznatky stanovené výkonovou časťou vzdelávacieho štandardu.</w:t>
            </w:r>
          </w:p>
          <w:p w:rsidR="00CF7FC6" w:rsidRPr="00CF7FC6" w:rsidRDefault="00CF7FC6" w:rsidP="00CF7FC6">
            <w:pPr>
              <w:jc w:val="both"/>
              <w:outlineLvl w:val="0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bCs/>
                <w:noProof/>
                <w:szCs w:val="24"/>
              </w:rPr>
              <w:t>Spôsoby hodnotenia</w:t>
            </w:r>
            <w:r w:rsidRPr="00CF7FC6">
              <w:rPr>
                <w:rFonts w:ascii="Times New Roman" w:hAnsi="Times New Roman"/>
                <w:bCs/>
                <w:noProof/>
                <w:szCs w:val="24"/>
              </w:rPr>
              <w:t>:</w:t>
            </w:r>
            <w:r w:rsidRPr="00CF7FC6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 </w:t>
            </w:r>
            <w:r w:rsidRPr="00CF7FC6">
              <w:rPr>
                <w:rFonts w:ascii="Times New Roman" w:hAnsi="Times New Roman"/>
                <w:noProof/>
                <w:szCs w:val="24"/>
              </w:rPr>
              <w:t xml:space="preserve">slovné hodnotenie, klasifikácia známkou, sebahodnotenie žiaka, pochvala </w:t>
            </w:r>
          </w:p>
          <w:p w:rsidR="00CF7FC6" w:rsidRPr="00CF7FC6" w:rsidRDefault="00CF7FC6" w:rsidP="00CF7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bCs/>
                <w:noProof/>
                <w:szCs w:val="24"/>
              </w:rPr>
              <w:lastRenderedPageBreak/>
              <w:t>Formy hodnotenia</w:t>
            </w:r>
            <w:r w:rsidRPr="00CF7FC6">
              <w:rPr>
                <w:rFonts w:ascii="Times New Roman" w:hAnsi="Times New Roman"/>
                <w:bCs/>
                <w:noProof/>
                <w:szCs w:val="24"/>
              </w:rPr>
              <w:t xml:space="preserve">: </w:t>
            </w:r>
            <w:r w:rsidRPr="00CF7FC6">
              <w:rPr>
                <w:rFonts w:ascii="Times New Roman" w:hAnsi="Times New Roman"/>
                <w:noProof/>
                <w:szCs w:val="24"/>
              </w:rPr>
              <w:t>kontrolné práce, testy, krátke previerky, ústna odpoveď, aktivita žiaka (samostatná práca), projekty, referáty</w:t>
            </w:r>
          </w:p>
          <w:p w:rsidR="00CF7FC6" w:rsidRPr="00CF7FC6" w:rsidRDefault="00CF7FC6" w:rsidP="00CF7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CF7FC6" w:rsidRPr="00CF7FC6" w:rsidRDefault="00CF7FC6" w:rsidP="00CF7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  <w:bookmarkStart w:id="0" w:name="_GoBack"/>
            <w:bookmarkEnd w:id="0"/>
          </w:p>
          <w:p w:rsidR="00CF7FC6" w:rsidRPr="00CF7FC6" w:rsidRDefault="00CF7FC6" w:rsidP="00CF7FC6">
            <w:pPr>
              <w:pStyle w:val="Odsekzoznamu"/>
              <w:numPr>
                <w:ilvl w:val="0"/>
                <w:numId w:val="14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CF7FC6">
              <w:rPr>
                <w:b/>
                <w:noProof/>
                <w:lang w:val="sk-SK"/>
              </w:rPr>
              <w:t>Písomné práce a krátke previerky</w:t>
            </w:r>
          </w:p>
          <w:p w:rsidR="00CF7FC6" w:rsidRPr="00CF7FC6" w:rsidRDefault="00CF7FC6" w:rsidP="00CF7FC6">
            <w:pPr>
              <w:spacing w:line="36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 Časový rozsah testu/previerky: 15 – 20 minút.</w:t>
            </w:r>
          </w:p>
          <w:p w:rsidR="00CF7FC6" w:rsidRPr="00CF7FC6" w:rsidRDefault="00CF7FC6" w:rsidP="00CF7FC6">
            <w:pPr>
              <w:pStyle w:val="Odsekzoznamu"/>
              <w:numPr>
                <w:ilvl w:val="0"/>
                <w:numId w:val="14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CF7FC6">
              <w:rPr>
                <w:b/>
                <w:noProof/>
                <w:lang w:val="sk-SK"/>
              </w:rPr>
              <w:t>Ústne odpovede</w:t>
            </w:r>
          </w:p>
          <w:p w:rsidR="00CF7FC6" w:rsidRPr="00CF7FC6" w:rsidRDefault="00CF7FC6" w:rsidP="00CF7FC6">
            <w:pPr>
              <w:spacing w:line="36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Žiak by mal absolvovať minimálne 1 ústnu odpoveď z jednotlivých prebratých tém  za 1 klasifikačné obdobie (1 polrok).</w:t>
            </w:r>
            <w:r w:rsidRPr="00CF7FC6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CF7FC6">
              <w:rPr>
                <w:rFonts w:ascii="Times New Roman" w:hAnsi="Times New Roman"/>
                <w:noProof/>
                <w:szCs w:val="24"/>
              </w:rPr>
              <w:t xml:space="preserve">Termíny ústnych odpovedí vyučujúci vopred neoznamuje. Žiak bude hodnotený známkou (stupeň 1- 5) podľa presnosti, plynulosti, istoty vo vyjadrovaní k danej téme, úrovne zvládnutia učiva (systematická príprava na vyučovanie geografie), nevynímajúc prácu s mapou v rámci predmetu geografia. Časový rozsah odpovede: 5 – 10 minút. </w:t>
            </w:r>
          </w:p>
          <w:p w:rsidR="00CF7FC6" w:rsidRPr="00CF7FC6" w:rsidRDefault="00CF7FC6" w:rsidP="00CF7FC6">
            <w:pPr>
              <w:pStyle w:val="Odsekzoznamu"/>
              <w:numPr>
                <w:ilvl w:val="0"/>
                <w:numId w:val="14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CF7FC6">
              <w:rPr>
                <w:b/>
                <w:noProof/>
                <w:lang w:val="sk-SK"/>
              </w:rPr>
              <w:t>Doplňujúce hodnotenie</w:t>
            </w:r>
          </w:p>
          <w:p w:rsidR="00CF7FC6" w:rsidRPr="00CF7FC6" w:rsidRDefault="00CF7FC6" w:rsidP="00CF7FC6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noProof/>
                <w:szCs w:val="24"/>
              </w:rPr>
              <w:t xml:space="preserve">Projekty    </w:t>
            </w:r>
          </w:p>
          <w:p w:rsidR="00CF7FC6" w:rsidRPr="00CF7FC6" w:rsidRDefault="00CF7FC6" w:rsidP="00CF7FC6">
            <w:pPr>
              <w:spacing w:line="36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Projekty žiakov sú hodnotené klasifikačnými stupňami 1-5. Predmetom hodnotenia je samostatný a korektný verbálny prejav žiaka, fantázia a nápaditosť. Minimálny počet projektov za jeden školský rok je jeden, maximálny počet dva.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      </w:r>
          </w:p>
          <w:p w:rsidR="00CF7FC6" w:rsidRPr="00CF7FC6" w:rsidRDefault="00CF7FC6" w:rsidP="00CF7FC6">
            <w:pPr>
              <w:spacing w:line="360" w:lineRule="auto"/>
              <w:outlineLvl w:val="0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noProof/>
                <w:szCs w:val="24"/>
              </w:rPr>
              <w:t>Aktivita žiaka</w:t>
            </w:r>
            <w:r w:rsidRPr="00CF7FC6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CF7FC6" w:rsidRPr="00CF7FC6" w:rsidRDefault="00CF7FC6" w:rsidP="00CF7FC6">
            <w:pPr>
              <w:spacing w:line="36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Aktivita žiaka je hodnotená počas celého školského roka slovne, ako i písomne – známkou. Žiak má v rámci vyučovania geografie priestor a možnosť prejaviť svoju aktivitu, a to v podobe ústnej, či písomnej.</w:t>
            </w:r>
          </w:p>
          <w:p w:rsidR="00CF7FC6" w:rsidRPr="00CF7FC6" w:rsidRDefault="00CF7FC6" w:rsidP="00CF7FC6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outlineLvl w:val="0"/>
              <w:rPr>
                <w:b/>
                <w:noProof/>
                <w:lang w:val="sk-SK"/>
              </w:rPr>
            </w:pPr>
            <w:r w:rsidRPr="00CF7FC6">
              <w:rPr>
                <w:b/>
                <w:noProof/>
                <w:lang w:val="sk-SK"/>
              </w:rPr>
              <w:t xml:space="preserve"> Celkové hodnotenie:</w:t>
            </w:r>
          </w:p>
          <w:p w:rsidR="00CF7FC6" w:rsidRPr="00CF7FC6" w:rsidRDefault="00CF7FC6" w:rsidP="00CF7FC6">
            <w:pPr>
              <w:spacing w:line="36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CF7FC6">
              <w:rPr>
                <w:rFonts w:ascii="Times New Roman" w:hAnsi="Times New Roman"/>
                <w:noProof/>
                <w:szCs w:val="24"/>
              </w:rPr>
              <w:t xml:space="preserve">Výsledné hodnotenie žiaka bude  súhrnom vyššie uvedených kritérií. Výsledná známka </w:t>
            </w:r>
            <w:r w:rsidRPr="00CF7FC6">
              <w:rPr>
                <w:rFonts w:ascii="Times New Roman" w:hAnsi="Times New Roman"/>
                <w:b/>
                <w:noProof/>
                <w:szCs w:val="24"/>
              </w:rPr>
              <w:lastRenderedPageBreak/>
              <w:t>nebude</w:t>
            </w:r>
            <w:r w:rsidRPr="00CF7FC6">
              <w:rPr>
                <w:rFonts w:ascii="Times New Roman" w:hAnsi="Times New Roman"/>
                <w:noProof/>
                <w:szCs w:val="24"/>
              </w:rPr>
              <w:t xml:space="preserve"> získaná aritmetickým priemerom priebežných známok, ale bude odzrkadľovať prácu žiaka počas celého školského roka.</w:t>
            </w: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CF7FC6" w:rsidRPr="00CF7FC6" w:rsidRDefault="00CF7FC6" w:rsidP="00CF7FC6">
            <w:pPr>
              <w:jc w:val="both"/>
              <w:rPr>
                <w:rFonts w:ascii="Times New Roman" w:hAnsi="Times New Roman"/>
                <w:b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noProof/>
                <w:szCs w:val="24"/>
              </w:rPr>
              <w:t xml:space="preserve">Hodnotiaca škála: </w:t>
            </w:r>
          </w:p>
          <w:p w:rsidR="00CF7FC6" w:rsidRPr="00CF7FC6" w:rsidRDefault="00CF7FC6" w:rsidP="00CF7FC6">
            <w:pPr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100 – 90 % ........... 1 (výborný)</w:t>
            </w:r>
          </w:p>
          <w:p w:rsidR="00CF7FC6" w:rsidRPr="00CF7FC6" w:rsidRDefault="00CF7FC6" w:rsidP="00CF7FC6">
            <w:pPr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89 – 75 % ............. 2 (chválitebný)</w:t>
            </w:r>
          </w:p>
          <w:p w:rsidR="00CF7FC6" w:rsidRPr="00CF7FC6" w:rsidRDefault="00CF7FC6" w:rsidP="00CF7FC6">
            <w:pPr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74 – 50 % ............. 3 (dobrý)</w:t>
            </w:r>
          </w:p>
          <w:p w:rsidR="00CF7FC6" w:rsidRPr="00CF7FC6" w:rsidRDefault="00CF7FC6" w:rsidP="00CF7FC6">
            <w:pPr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49 – 30 % ............. 4 (dostatočný)</w:t>
            </w:r>
          </w:p>
          <w:p w:rsidR="00CF7FC6" w:rsidRPr="00CF7FC6" w:rsidRDefault="00CF7FC6" w:rsidP="00CF7FC6">
            <w:pPr>
              <w:rPr>
                <w:rFonts w:ascii="Times New Roman" w:hAnsi="Times New Roman"/>
                <w:noProof/>
                <w:szCs w:val="24"/>
              </w:rPr>
            </w:pPr>
            <w:r w:rsidRPr="00CF7FC6">
              <w:rPr>
                <w:rFonts w:ascii="Times New Roman" w:hAnsi="Times New Roman"/>
                <w:noProof/>
                <w:szCs w:val="24"/>
              </w:rPr>
              <w:t>&lt; 30 % .................. 5 (nedostatočný)</w:t>
            </w:r>
          </w:p>
          <w:p w:rsidR="00CF7FC6" w:rsidRPr="00CF7FC6" w:rsidRDefault="00CF7FC6" w:rsidP="00CF7FC6">
            <w:pPr>
              <w:ind w:firstLine="720"/>
              <w:rPr>
                <w:rFonts w:ascii="Times New Roman" w:hAnsi="Times New Roman"/>
                <w:noProof/>
                <w:szCs w:val="24"/>
              </w:rPr>
            </w:pPr>
          </w:p>
          <w:p w:rsidR="00421EFE" w:rsidRPr="00CF7FC6" w:rsidRDefault="00CF7FC6" w:rsidP="00CF7FC6">
            <w:pPr>
              <w:outlineLvl w:val="0"/>
              <w:rPr>
                <w:rFonts w:ascii="Times New Roman" w:hAnsi="Times New Roman"/>
                <w:b/>
                <w:noProof/>
                <w:szCs w:val="24"/>
              </w:rPr>
            </w:pPr>
            <w:r w:rsidRPr="00CF7FC6">
              <w:rPr>
                <w:rFonts w:ascii="Times New Roman" w:hAnsi="Times New Roman"/>
                <w:b/>
                <w:noProof/>
                <w:szCs w:val="24"/>
              </w:rPr>
              <w:t>Hodnotenie projekto</w:t>
            </w:r>
            <w:r>
              <w:rPr>
                <w:rFonts w:ascii="Times New Roman" w:hAnsi="Times New Roman"/>
                <w:b/>
                <w:noProof/>
                <w:szCs w:val="24"/>
              </w:rPr>
              <w:t>v</w:t>
            </w:r>
          </w:p>
        </w:tc>
      </w:tr>
      <w:tr w:rsidR="00CF7FC6" w:rsidRPr="00B700E7" w:rsidTr="00CF7FC6">
        <w:trPr>
          <w:gridBefore w:val="1"/>
          <w:gridAfter w:val="2"/>
          <w:wBefore w:w="176" w:type="dxa"/>
          <w:wAfter w:w="955" w:type="dxa"/>
        </w:trPr>
        <w:tc>
          <w:tcPr>
            <w:tcW w:w="9212" w:type="dxa"/>
            <w:gridSpan w:val="6"/>
          </w:tcPr>
          <w:p w:rsidR="00CF7FC6" w:rsidRPr="00CF7FC6" w:rsidRDefault="00CF7FC6" w:rsidP="00CF7FC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F7FC6">
              <w:rPr>
                <w:rFonts w:ascii="Times New Roman" w:hAnsi="Times New Roman"/>
                <w:b/>
                <w:bCs/>
                <w:szCs w:val="24"/>
              </w:rPr>
              <w:lastRenderedPageBreak/>
              <w:t>Kritériá hodnotenia projektov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audiovizuálnej techniky /počítač, dataprojektor/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literatúry /min.2 zdroje z internetu/ - uviesť v projekte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Samostatnosť prejavu /prezentácia projektu: a) čítaním b) výkladom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Textová časť v prezentácii /vyjadrenie: a) pojmami, heslami b) množstvo textu =  strata prehľadnosti témy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obrázkov v prezentácii /a) súvisia s textom b) nesúvisia s textom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animácií v prezentácii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Obsahové dodržanie témy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884" w:type="dxa"/>
            <w:gridSpan w:val="2"/>
          </w:tcPr>
          <w:p w:rsidR="00CF7FC6" w:rsidRPr="00B700E7" w:rsidRDefault="00CF7FC6" w:rsidP="003F2284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 xml:space="preserve">Interaktívnosť prezentácie /a) manipulácia s výpočtovou technikou (klávesnica, interaktívna tabuľa) b) priama účasť žiaka 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CF7FC6" w:rsidRPr="00B700E7" w:rsidTr="00CF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6884" w:type="dxa"/>
            <w:gridSpan w:val="2"/>
          </w:tcPr>
          <w:p w:rsidR="00CF7FC6" w:rsidRPr="00CF7FC6" w:rsidRDefault="00CF7FC6" w:rsidP="003F2284">
            <w:pPr>
              <w:rPr>
                <w:rFonts w:ascii="Times New Roman" w:hAnsi="Times New Roman"/>
                <w:noProof/>
                <w:sz w:val="22"/>
              </w:rPr>
            </w:pPr>
            <w:r w:rsidRPr="00CF7FC6">
              <w:rPr>
                <w:rFonts w:ascii="Times New Roman" w:hAnsi="Times New Roman"/>
                <w:bCs/>
                <w:noProof/>
                <w:sz w:val="22"/>
              </w:rPr>
              <w:t>Dĺžka trvania /5-10 min. maximálne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  <w:gridSpan w:val="2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CF7FC6" w:rsidRPr="00B700E7" w:rsidRDefault="00CF7FC6" w:rsidP="003F2284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</w:tbl>
    <w:p w:rsidR="006476B8" w:rsidRDefault="006476B8" w:rsidP="000A5B7D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1753DA" w:rsidRPr="00853783" w:rsidRDefault="001753DA" w:rsidP="001753DA">
      <w:pPr>
        <w:rPr>
          <w:rFonts w:ascii="Times New Roman" w:hAnsi="Times New Roman"/>
          <w:b/>
        </w:rPr>
      </w:pPr>
      <w:r w:rsidRPr="00853783">
        <w:rPr>
          <w:rFonts w:ascii="Times New Roman" w:hAnsi="Times New Roman"/>
          <w:b/>
        </w:rPr>
        <w:t>Integrácia anglické</w:t>
      </w:r>
      <w:r>
        <w:rPr>
          <w:rFonts w:ascii="Times New Roman" w:hAnsi="Times New Roman"/>
          <w:b/>
        </w:rPr>
        <w:t>ho jazyka do predmetu geografia</w:t>
      </w:r>
      <w:r w:rsidRPr="00853783">
        <w:rPr>
          <w:rFonts w:ascii="Times New Roman" w:hAnsi="Times New Roman"/>
          <w:b/>
        </w:rPr>
        <w:t xml:space="preserve"> metodikou CLIL.</w:t>
      </w:r>
    </w:p>
    <w:p w:rsidR="001753DA" w:rsidRPr="00853783" w:rsidRDefault="001753DA" w:rsidP="001753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753DA" w:rsidRPr="00CF7FC6" w:rsidRDefault="001753DA" w:rsidP="001753DA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853783">
        <w:rPr>
          <w:rFonts w:ascii="Times New Roman" w:hAnsi="Times New Roman"/>
        </w:rPr>
        <w:t xml:space="preserve">Počas celého školského roka sa budeme usilovať prostredníctvom metodiky CLIL nielen poskytovať priestor pre zdokonalenie zručností a vedomostí v oblasti </w:t>
      </w:r>
      <w:r>
        <w:rPr>
          <w:rFonts w:ascii="Times New Roman" w:hAnsi="Times New Roman"/>
        </w:rPr>
        <w:t>geografie</w:t>
      </w:r>
      <w:r w:rsidRPr="00853783">
        <w:rPr>
          <w:rFonts w:ascii="Times New Roman" w:hAnsi="Times New Roman"/>
        </w:rPr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</w:t>
      </w:r>
    </w:p>
    <w:sectPr w:rsidR="001753DA" w:rsidRPr="00CF7FC6" w:rsidSect="001D5F1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49" w:rsidRDefault="000B0B49" w:rsidP="001D5F19">
      <w:pPr>
        <w:spacing w:line="240" w:lineRule="auto"/>
      </w:pPr>
      <w:r>
        <w:separator/>
      </w:r>
    </w:p>
  </w:endnote>
  <w:endnote w:type="continuationSeparator" w:id="0">
    <w:p w:rsidR="000B0B49" w:rsidRDefault="000B0B49" w:rsidP="001D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19" w:rsidRPr="001D5F19" w:rsidRDefault="0030349D" w:rsidP="0030349D">
    <w:pPr>
      <w:pStyle w:val="Pta"/>
      <w:tabs>
        <w:tab w:val="clear" w:pos="4536"/>
      </w:tabs>
      <w:rPr>
        <w:color w:val="808080"/>
      </w:rPr>
    </w:pPr>
    <w:r>
      <w:rPr>
        <w:noProof/>
        <w:color w:val="808080"/>
        <w:lang w:eastAsia="zh-T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49" w:rsidRDefault="000B0B49" w:rsidP="001D5F19">
      <w:pPr>
        <w:spacing w:line="240" w:lineRule="auto"/>
      </w:pPr>
      <w:r>
        <w:separator/>
      </w:r>
    </w:p>
  </w:footnote>
  <w:footnote w:type="continuationSeparator" w:id="0">
    <w:p w:rsidR="000B0B49" w:rsidRDefault="000B0B49" w:rsidP="001D5F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19" w:rsidRPr="001D5F19" w:rsidRDefault="00DB2F90" w:rsidP="001D5F19">
    <w:pPr>
      <w:pStyle w:val="Hlavika"/>
      <w:tabs>
        <w:tab w:val="clear" w:pos="4536"/>
        <w:tab w:val="center" w:pos="1276"/>
      </w:tabs>
      <w:jc w:val="right"/>
      <w:rPr>
        <w:color w:val="808080"/>
      </w:rPr>
    </w:pPr>
    <w:r w:rsidRPr="00DB2F90">
      <w:rPr>
        <w:rFonts w:ascii="Cambria" w:eastAsia="Times New Roman" w:hAnsi="Cambria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17.6pt;margin-top:-6.3pt;width:300pt;height:36.75pt;z-index:251657728" filled="f" stroked="f">
          <v:textbox style="mso-next-textbox:#_x0000_s2059">
            <w:txbxContent>
              <w:p w:rsidR="001D5F19" w:rsidRPr="00354707" w:rsidRDefault="001D5F19" w:rsidP="00354707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E049ED"/>
    <w:multiLevelType w:val="hybridMultilevel"/>
    <w:tmpl w:val="7632F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0F5"/>
    <w:multiLevelType w:val="hybridMultilevel"/>
    <w:tmpl w:val="B19AD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7E56"/>
    <w:multiLevelType w:val="hybridMultilevel"/>
    <w:tmpl w:val="25E6458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6D1F22"/>
    <w:multiLevelType w:val="hybridMultilevel"/>
    <w:tmpl w:val="29002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4DD"/>
    <w:multiLevelType w:val="hybridMultilevel"/>
    <w:tmpl w:val="401284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70B81"/>
    <w:multiLevelType w:val="hybridMultilevel"/>
    <w:tmpl w:val="BE0A2E9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F449B"/>
    <w:multiLevelType w:val="hybridMultilevel"/>
    <w:tmpl w:val="58DEA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771A6"/>
    <w:multiLevelType w:val="hybridMultilevel"/>
    <w:tmpl w:val="9B720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A5DC5"/>
    <w:multiLevelType w:val="hybridMultilevel"/>
    <w:tmpl w:val="1472D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2A96"/>
    <w:multiLevelType w:val="hybridMultilevel"/>
    <w:tmpl w:val="E0A01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215B2"/>
    <w:multiLevelType w:val="hybridMultilevel"/>
    <w:tmpl w:val="71F65B0E"/>
    <w:lvl w:ilvl="0" w:tplc="EC0E5432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5F19"/>
    <w:rsid w:val="00001961"/>
    <w:rsid w:val="00013E0E"/>
    <w:rsid w:val="00024879"/>
    <w:rsid w:val="000263E2"/>
    <w:rsid w:val="00035E01"/>
    <w:rsid w:val="00066FEA"/>
    <w:rsid w:val="00077142"/>
    <w:rsid w:val="000A2687"/>
    <w:rsid w:val="000A5B7D"/>
    <w:rsid w:val="000B0B49"/>
    <w:rsid w:val="001033CC"/>
    <w:rsid w:val="001753DA"/>
    <w:rsid w:val="00181D67"/>
    <w:rsid w:val="0018340E"/>
    <w:rsid w:val="001D5F19"/>
    <w:rsid w:val="001E350A"/>
    <w:rsid w:val="001E3F2C"/>
    <w:rsid w:val="00206894"/>
    <w:rsid w:val="00210FFE"/>
    <w:rsid w:val="0022536D"/>
    <w:rsid w:val="00272653"/>
    <w:rsid w:val="00290D52"/>
    <w:rsid w:val="00297FA7"/>
    <w:rsid w:val="002A1F3D"/>
    <w:rsid w:val="002A7EC1"/>
    <w:rsid w:val="002F5F71"/>
    <w:rsid w:val="0030349D"/>
    <w:rsid w:val="00317388"/>
    <w:rsid w:val="003227A2"/>
    <w:rsid w:val="003378BC"/>
    <w:rsid w:val="0035343A"/>
    <w:rsid w:val="00354707"/>
    <w:rsid w:val="00385DCF"/>
    <w:rsid w:val="003D459A"/>
    <w:rsid w:val="003D476B"/>
    <w:rsid w:val="003E14CE"/>
    <w:rsid w:val="003F3794"/>
    <w:rsid w:val="00404277"/>
    <w:rsid w:val="00406D03"/>
    <w:rsid w:val="00417D92"/>
    <w:rsid w:val="00421EFE"/>
    <w:rsid w:val="00427819"/>
    <w:rsid w:val="00473AF6"/>
    <w:rsid w:val="004C543F"/>
    <w:rsid w:val="004D2999"/>
    <w:rsid w:val="00521737"/>
    <w:rsid w:val="005702BF"/>
    <w:rsid w:val="00583547"/>
    <w:rsid w:val="005D04A0"/>
    <w:rsid w:val="005D50F3"/>
    <w:rsid w:val="005D6D22"/>
    <w:rsid w:val="00610326"/>
    <w:rsid w:val="00613745"/>
    <w:rsid w:val="006476B8"/>
    <w:rsid w:val="00667230"/>
    <w:rsid w:val="00673898"/>
    <w:rsid w:val="006824A2"/>
    <w:rsid w:val="00704140"/>
    <w:rsid w:val="00763112"/>
    <w:rsid w:val="007648AB"/>
    <w:rsid w:val="00771690"/>
    <w:rsid w:val="007927D7"/>
    <w:rsid w:val="007A694A"/>
    <w:rsid w:val="007F3E5B"/>
    <w:rsid w:val="007F4E1F"/>
    <w:rsid w:val="00820923"/>
    <w:rsid w:val="00855245"/>
    <w:rsid w:val="008C31A7"/>
    <w:rsid w:val="008E3DE8"/>
    <w:rsid w:val="00903FBC"/>
    <w:rsid w:val="009104F0"/>
    <w:rsid w:val="009145B2"/>
    <w:rsid w:val="009323CD"/>
    <w:rsid w:val="009B18CA"/>
    <w:rsid w:val="009F264C"/>
    <w:rsid w:val="009F4240"/>
    <w:rsid w:val="00A23B99"/>
    <w:rsid w:val="00A43D91"/>
    <w:rsid w:val="00A717B7"/>
    <w:rsid w:val="00A85983"/>
    <w:rsid w:val="00A86A5E"/>
    <w:rsid w:val="00AB73F7"/>
    <w:rsid w:val="00AD70A4"/>
    <w:rsid w:val="00AF0378"/>
    <w:rsid w:val="00B049DE"/>
    <w:rsid w:val="00B35574"/>
    <w:rsid w:val="00B44D45"/>
    <w:rsid w:val="00B72ACA"/>
    <w:rsid w:val="00B81E24"/>
    <w:rsid w:val="00B838EC"/>
    <w:rsid w:val="00B95255"/>
    <w:rsid w:val="00BA7D41"/>
    <w:rsid w:val="00BB7A97"/>
    <w:rsid w:val="00BD1D95"/>
    <w:rsid w:val="00C321F2"/>
    <w:rsid w:val="00C36F9F"/>
    <w:rsid w:val="00C55726"/>
    <w:rsid w:val="00C56E8E"/>
    <w:rsid w:val="00C84939"/>
    <w:rsid w:val="00CF7FC6"/>
    <w:rsid w:val="00D1289E"/>
    <w:rsid w:val="00D86BC3"/>
    <w:rsid w:val="00DB2F90"/>
    <w:rsid w:val="00DD28FD"/>
    <w:rsid w:val="00E1163D"/>
    <w:rsid w:val="00E5127F"/>
    <w:rsid w:val="00EE7CEC"/>
    <w:rsid w:val="00F36F6F"/>
    <w:rsid w:val="00F471BD"/>
    <w:rsid w:val="00F7111A"/>
    <w:rsid w:val="00F750B1"/>
    <w:rsid w:val="00F8305C"/>
    <w:rsid w:val="00F9216B"/>
    <w:rsid w:val="00FC770E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70E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F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19"/>
  </w:style>
  <w:style w:type="paragraph" w:styleId="Pta">
    <w:name w:val="footer"/>
    <w:basedOn w:val="Normlny"/>
    <w:link w:val="Pt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F19"/>
  </w:style>
  <w:style w:type="paragraph" w:styleId="Textbubliny">
    <w:name w:val="Balloon Text"/>
    <w:basedOn w:val="Normlny"/>
    <w:link w:val="TextbublinyChar"/>
    <w:uiPriority w:val="99"/>
    <w:semiHidden/>
    <w:unhideWhenUsed/>
    <w:rsid w:val="001D5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D5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Normlny"/>
    <w:rsid w:val="00421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k-SK"/>
    </w:rPr>
  </w:style>
  <w:style w:type="paragraph" w:styleId="Normlnywebov">
    <w:name w:val="Normal (Web)"/>
    <w:basedOn w:val="Normlny"/>
    <w:rsid w:val="00421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k-SK"/>
    </w:rPr>
  </w:style>
  <w:style w:type="paragraph" w:customStyle="1" w:styleId="Default">
    <w:name w:val="Default"/>
    <w:rsid w:val="00421E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421E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1EFE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21EFE"/>
    <w:rPr>
      <w:rFonts w:ascii="Times New Roman" w:eastAsia="Times New Roman" w:hAnsi="Times New Roman"/>
    </w:rPr>
  </w:style>
  <w:style w:type="character" w:styleId="Siln">
    <w:name w:val="Strong"/>
    <w:qFormat/>
    <w:rsid w:val="009F264C"/>
    <w:rPr>
      <w:b/>
      <w:bCs/>
    </w:rPr>
  </w:style>
  <w:style w:type="character" w:styleId="Hypertextovprepojenie">
    <w:name w:val="Hyperlink"/>
    <w:rsid w:val="00406D0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F7FC6"/>
    <w:pPr>
      <w:spacing w:after="120"/>
    </w:pPr>
    <w:rPr>
      <w:rFonts w:ascii="Times New Roman" w:hAnsi="Times New Roman"/>
      <w:bCs/>
      <w:sz w:val="22"/>
    </w:rPr>
  </w:style>
  <w:style w:type="character" w:customStyle="1" w:styleId="ZkladntextChar">
    <w:name w:val="Základný text Char"/>
    <w:basedOn w:val="Predvolenpsmoodseku"/>
    <w:link w:val="Zkladntext"/>
    <w:rsid w:val="00CF7FC6"/>
    <w:rPr>
      <w:rFonts w:ascii="Times New Roman" w:hAnsi="Times New Roman"/>
      <w:bCs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CF7FC6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školaOravská cesta 11, Žilina</vt:lpstr>
    </vt:vector>
  </TitlesOfParts>
  <Company>Hewlett-Packard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školaOravská cesta 11, Žilina</dc:title>
  <dc:creator>Macko</dc:creator>
  <cp:lastModifiedBy>PC-SPU</cp:lastModifiedBy>
  <cp:revision>3</cp:revision>
  <cp:lastPrinted>2011-07-01T09:57:00Z</cp:lastPrinted>
  <dcterms:created xsi:type="dcterms:W3CDTF">2018-08-30T08:47:00Z</dcterms:created>
  <dcterms:modified xsi:type="dcterms:W3CDTF">2018-08-30T08:49:00Z</dcterms:modified>
</cp:coreProperties>
</file>